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F61" w:rsidRDefault="00AB0F61" w:rsidP="00AB0F61">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#94-e-bis                                                         </w:t>
      </w:r>
      <w:r>
        <w:rPr>
          <w:rFonts w:ascii="Arial" w:hAnsi="Arial" w:cs="Arial"/>
          <w:b/>
          <w:sz w:val="24"/>
          <w:szCs w:val="24"/>
        </w:rPr>
        <w:t>R4-</w:t>
      </w:r>
      <w:r>
        <w:rPr>
          <w:rFonts w:ascii="Arial" w:hAnsi="Arial" w:cs="Arial"/>
          <w:b/>
          <w:sz w:val="24"/>
          <w:szCs w:val="24"/>
          <w:lang w:eastAsia="zh-CN"/>
        </w:rPr>
        <w:t>200330</w:t>
      </w:r>
      <w:r>
        <w:rPr>
          <w:rFonts w:ascii="Arial" w:hAnsi="Arial" w:cs="Arial" w:hint="eastAsia"/>
          <w:b/>
          <w:sz w:val="24"/>
          <w:szCs w:val="24"/>
          <w:lang w:eastAsia="zh-CN"/>
        </w:rPr>
        <w:t>7</w:t>
      </w:r>
    </w:p>
    <w:p w:rsidR="00AB0F61" w:rsidRDefault="00927C17" w:rsidP="00AB0F61">
      <w:pPr>
        <w:pStyle w:val="CRCoverPage"/>
        <w:outlineLvl w:val="0"/>
        <w:rPr>
          <w:b/>
          <w:noProof/>
          <w:sz w:val="24"/>
        </w:rPr>
      </w:pPr>
      <w:r>
        <w:rPr>
          <w:b/>
          <w:sz w:val="24"/>
          <w:szCs w:val="24"/>
          <w:lang w:eastAsia="zh-CN"/>
        </w:rPr>
        <w:t xml:space="preserve">Electronic Meeting, </w:t>
      </w:r>
      <w:r>
        <w:rPr>
          <w:rFonts w:hint="eastAsia"/>
          <w:b/>
          <w:sz w:val="24"/>
          <w:szCs w:val="24"/>
          <w:lang w:eastAsia="zh-CN"/>
        </w:rPr>
        <w:t>2</w:t>
      </w:r>
      <w:bookmarkStart w:id="2" w:name="_GoBack"/>
      <w:bookmarkEnd w:id="2"/>
      <w:r w:rsidR="00AB0F61">
        <w:rPr>
          <w:b/>
          <w:sz w:val="24"/>
          <w:szCs w:val="24"/>
          <w:lang w:eastAsia="zh-CN"/>
        </w:rPr>
        <w:t>0</w:t>
      </w:r>
      <w:r w:rsidR="00AB0F61">
        <w:rPr>
          <w:b/>
          <w:sz w:val="24"/>
          <w:szCs w:val="24"/>
          <w:vertAlign w:val="superscript"/>
          <w:lang w:eastAsia="zh-CN"/>
        </w:rPr>
        <w:t>th</w:t>
      </w:r>
      <w:r w:rsidR="00AB0F61">
        <w:rPr>
          <w:b/>
          <w:sz w:val="24"/>
          <w:szCs w:val="24"/>
          <w:lang w:eastAsia="zh-CN"/>
        </w:rPr>
        <w:t xml:space="preserve"> Apr. – 30</w:t>
      </w:r>
      <w:r w:rsidR="00AB0F61">
        <w:rPr>
          <w:b/>
          <w:sz w:val="24"/>
          <w:szCs w:val="24"/>
          <w:vertAlign w:val="superscript"/>
          <w:lang w:eastAsia="zh-CN"/>
        </w:rPr>
        <w:t>th</w:t>
      </w:r>
      <w:r w:rsidR="00AB0F61">
        <w:rPr>
          <w:b/>
          <w:sz w:val="24"/>
          <w:szCs w:val="24"/>
          <w:lang w:eastAsia="zh-CN"/>
        </w:rPr>
        <w:t xml:space="preserve"> Apr., 2020</w:t>
      </w:r>
    </w:p>
    <w:p w:rsidR="00076DAD" w:rsidRPr="00AB0F61"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F5467" w:rsidRPr="00AF5467">
        <w:rPr>
          <w:rFonts w:ascii="Arial" w:eastAsiaTheme="minorEastAsia" w:hAnsi="Arial" w:cs="Arial"/>
          <w:b/>
          <w:sz w:val="24"/>
          <w:szCs w:val="24"/>
          <w:lang w:eastAsia="zh-CN"/>
        </w:rPr>
        <w:t xml:space="preserve">Discussion on relationship between TDD </w:t>
      </w:r>
      <w:r w:rsidR="00D02EE6">
        <w:rPr>
          <w:rFonts w:ascii="Arial" w:eastAsiaTheme="minorEastAsia" w:hAnsi="Arial" w:cs="Arial"/>
          <w:b/>
          <w:sz w:val="24"/>
          <w:szCs w:val="24"/>
          <w:lang w:eastAsia="zh-CN"/>
        </w:rPr>
        <w:t>and FDD requirements for NR HST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B0F61">
        <w:rPr>
          <w:rFonts w:ascii="Arial" w:eastAsiaTheme="minorEastAsia" w:hAnsi="Arial" w:cs="Arial" w:hint="eastAsia"/>
          <w:b/>
          <w:sz w:val="24"/>
          <w:szCs w:val="24"/>
          <w:lang w:eastAsia="zh-CN"/>
        </w:rPr>
        <w:t>6</w:t>
      </w:r>
      <w:r w:rsidR="0028712A">
        <w:rPr>
          <w:rFonts w:ascii="Arial" w:eastAsiaTheme="minorEastAsia" w:hAnsi="Arial" w:cs="Arial" w:hint="eastAsia"/>
          <w:b/>
          <w:sz w:val="24"/>
          <w:szCs w:val="24"/>
          <w:lang w:eastAsia="zh-CN"/>
        </w:rPr>
        <w:t>.17.2.2.3</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43A82">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3392A" w:rsidRDefault="00945321" w:rsidP="00CE3E63">
      <w:pPr>
        <w:rPr>
          <w:lang w:eastAsia="zh-CN"/>
        </w:rPr>
      </w:pPr>
      <w:r w:rsidRPr="00B3392A">
        <w:rPr>
          <w:rFonts w:hint="eastAsia"/>
          <w:lang w:eastAsia="zh-CN"/>
        </w:rPr>
        <w:t xml:space="preserve">In RAN4#94e meeting, the </w:t>
      </w:r>
      <w:r w:rsidR="008070D3">
        <w:rPr>
          <w:rFonts w:eastAsiaTheme="minorEastAsia" w:hint="eastAsia"/>
          <w:lang w:eastAsia="zh-CN"/>
        </w:rPr>
        <w:t>r</w:t>
      </w:r>
      <w:r w:rsidR="008070D3" w:rsidRPr="008070D3">
        <w:rPr>
          <w:rFonts w:eastAsiaTheme="minorEastAsia"/>
          <w:lang w:eastAsia="zh-CN"/>
        </w:rPr>
        <w:t>elationship between TDD and FDD requirements</w:t>
      </w:r>
      <w:r w:rsidR="008070D3">
        <w:rPr>
          <w:rFonts w:eastAsiaTheme="minorEastAsia" w:hint="eastAsia"/>
          <w:lang w:eastAsia="zh-CN"/>
        </w:rPr>
        <w:t xml:space="preserve"> for </w:t>
      </w:r>
      <w:r w:rsidR="00DC7E6D">
        <w:rPr>
          <w:rFonts w:eastAsiaTheme="minorEastAsia" w:hint="eastAsia"/>
          <w:lang w:eastAsia="zh-CN"/>
        </w:rPr>
        <w:t>NR HST</w:t>
      </w:r>
      <w:r w:rsidRPr="00B3392A">
        <w:rPr>
          <w:rFonts w:hint="eastAsia"/>
          <w:lang w:eastAsia="zh-CN"/>
        </w:rPr>
        <w:t xml:space="preserve"> was discussed</w:t>
      </w:r>
      <w:r w:rsidR="00CE3E63" w:rsidRPr="00B3392A">
        <w:rPr>
          <w:rFonts w:hint="eastAsia"/>
          <w:lang w:eastAsia="zh-CN"/>
        </w:rPr>
        <w:t xml:space="preserve"> based on [1]</w:t>
      </w:r>
      <w:r w:rsidR="008070D3">
        <w:rPr>
          <w:rFonts w:hint="eastAsia"/>
          <w:lang w:eastAsia="zh-CN"/>
        </w:rPr>
        <w:t xml:space="preserve">. </w:t>
      </w:r>
      <w:r w:rsidR="000D4F90">
        <w:rPr>
          <w:rFonts w:hint="eastAsia"/>
          <w:lang w:eastAsia="zh-CN"/>
        </w:rPr>
        <w:t xml:space="preserve">However, the same or different requirements for TDD and FDD have not reached consensus and need to be further discussed. </w:t>
      </w:r>
      <w:r w:rsidR="00F33F51" w:rsidRPr="00B3392A">
        <w:rPr>
          <w:rFonts w:hint="eastAsia"/>
          <w:lang w:eastAsia="zh-CN"/>
        </w:rPr>
        <w:t>This contribution will provide our view</w:t>
      </w:r>
      <w:r w:rsidR="00CC195F" w:rsidRPr="00B3392A">
        <w:rPr>
          <w:rFonts w:hint="eastAsia"/>
          <w:lang w:eastAsia="zh-CN"/>
        </w:rPr>
        <w:t>s and analysis</w:t>
      </w:r>
      <w:r w:rsidR="00F33F51" w:rsidRPr="00B3392A">
        <w:rPr>
          <w:rFonts w:hint="eastAsia"/>
          <w:lang w:eastAsia="zh-CN"/>
        </w:rPr>
        <w:t xml:space="preserve"> on </w:t>
      </w:r>
      <w:r w:rsidR="00DC7E6D" w:rsidRPr="00B3392A">
        <w:rPr>
          <w:rFonts w:hint="eastAsia"/>
          <w:lang w:eastAsia="zh-CN"/>
        </w:rPr>
        <w:t xml:space="preserve">the </w:t>
      </w:r>
      <w:r w:rsidR="00DC7E6D">
        <w:rPr>
          <w:rFonts w:eastAsiaTheme="minorEastAsia" w:hint="eastAsia"/>
          <w:lang w:eastAsia="zh-CN"/>
        </w:rPr>
        <w:t>r</w:t>
      </w:r>
      <w:r w:rsidR="00DC7E6D" w:rsidRPr="008070D3">
        <w:rPr>
          <w:rFonts w:eastAsiaTheme="minorEastAsia"/>
          <w:lang w:eastAsia="zh-CN"/>
        </w:rPr>
        <w:t>elationship between TDD and FDD requirements</w:t>
      </w:r>
      <w:r w:rsidR="00DC7E6D">
        <w:rPr>
          <w:rFonts w:eastAsiaTheme="minorEastAsia" w:hint="eastAsia"/>
          <w:lang w:eastAsia="zh-CN"/>
        </w:rPr>
        <w:t>.</w:t>
      </w:r>
    </w:p>
    <w:p w:rsidR="00945321" w:rsidRPr="00F33F51" w:rsidRDefault="00945321" w:rsidP="002F67AD">
      <w:pPr>
        <w:rPr>
          <w:sz w:val="21"/>
          <w:szCs w:val="21"/>
          <w:lang w:eastAsia="zh-CN"/>
        </w:rPr>
      </w:pPr>
    </w:p>
    <w:p w:rsidR="007B3883" w:rsidRDefault="003A49FF">
      <w:pPr>
        <w:pStyle w:val="10"/>
        <w:numPr>
          <w:ilvl w:val="0"/>
          <w:numId w:val="4"/>
        </w:numPr>
        <w:rPr>
          <w:lang w:eastAsia="zh-CN"/>
        </w:rPr>
      </w:pPr>
      <w:r>
        <w:rPr>
          <w:rFonts w:hint="eastAsia"/>
          <w:lang w:eastAsia="zh-CN"/>
        </w:rPr>
        <w:t>Discussion</w:t>
      </w:r>
    </w:p>
    <w:p w:rsidR="00A36147" w:rsidRPr="008070D3" w:rsidRDefault="009B4786" w:rsidP="00BF0B5B">
      <w:pPr>
        <w:rPr>
          <w:lang w:eastAsia="zh-CN"/>
        </w:rPr>
      </w:pPr>
      <w:r>
        <w:rPr>
          <w:rFonts w:hint="eastAsia"/>
          <w:lang w:eastAsia="zh-CN"/>
        </w:rPr>
        <w:t xml:space="preserve">As per the WF [1] on NR HST BS demodulation requirements, the </w:t>
      </w:r>
      <w:r w:rsidR="00161553">
        <w:rPr>
          <w:rFonts w:hint="eastAsia"/>
          <w:lang w:eastAsia="zh-CN"/>
        </w:rPr>
        <w:t xml:space="preserve">tentative </w:t>
      </w:r>
      <w:r>
        <w:rPr>
          <w:rFonts w:hint="eastAsia"/>
          <w:lang w:eastAsia="zh-CN"/>
        </w:rPr>
        <w:t xml:space="preserve">progress on </w:t>
      </w:r>
      <w:r w:rsidR="00DC7E6D" w:rsidRPr="00B3392A">
        <w:rPr>
          <w:rFonts w:hint="eastAsia"/>
          <w:lang w:eastAsia="zh-CN"/>
        </w:rPr>
        <w:t xml:space="preserve">the </w:t>
      </w:r>
      <w:r w:rsidR="00DC7E6D">
        <w:rPr>
          <w:rFonts w:eastAsiaTheme="minorEastAsia" w:hint="eastAsia"/>
          <w:lang w:eastAsia="zh-CN"/>
        </w:rPr>
        <w:t>r</w:t>
      </w:r>
      <w:r w:rsidR="00DC7E6D" w:rsidRPr="008070D3">
        <w:rPr>
          <w:rFonts w:eastAsiaTheme="minorEastAsia"/>
          <w:lang w:eastAsia="zh-CN"/>
        </w:rPr>
        <w:t>elationship between TDD and FDD requirements</w:t>
      </w:r>
      <w:r w:rsidR="00DC7E6D">
        <w:rPr>
          <w:rFonts w:eastAsiaTheme="minorEastAsia" w:hint="eastAsia"/>
          <w:lang w:eastAsia="zh-CN"/>
        </w:rPr>
        <w:t xml:space="preserve"> </w:t>
      </w:r>
      <w:r w:rsidR="00101974">
        <w:rPr>
          <w:rFonts w:eastAsiaTheme="minorEastAsia" w:hint="eastAsia"/>
          <w:lang w:eastAsia="zh-CN"/>
        </w:rPr>
        <w:t xml:space="preserve">and slot allocation in radio frames </w:t>
      </w:r>
      <w:r w:rsidR="00DC7E6D">
        <w:rPr>
          <w:rFonts w:eastAsiaTheme="minorEastAsia" w:hint="eastAsia"/>
          <w:lang w:eastAsia="zh-CN"/>
        </w:rPr>
        <w:t>for HST</w:t>
      </w:r>
      <w:r w:rsidR="00101974">
        <w:rPr>
          <w:rFonts w:eastAsiaTheme="minorEastAsia" w:hint="eastAsia"/>
          <w:lang w:eastAsia="zh-CN"/>
        </w:rPr>
        <w:t xml:space="preserve"> PUSCH</w:t>
      </w:r>
      <w:r w:rsidR="00161553">
        <w:rPr>
          <w:rFonts w:hint="eastAsia"/>
          <w:lang w:eastAsia="zh-CN"/>
        </w:rPr>
        <w:t xml:space="preserve"> is shown as follows:</w:t>
      </w:r>
    </w:p>
    <w:tbl>
      <w:tblPr>
        <w:tblStyle w:val="af8"/>
        <w:tblW w:w="0" w:type="auto"/>
        <w:tblLook w:val="04A0" w:firstRow="1" w:lastRow="0" w:firstColumn="1" w:lastColumn="0" w:noHBand="0" w:noVBand="1"/>
      </w:tblPr>
      <w:tblGrid>
        <w:gridCol w:w="9855"/>
      </w:tblGrid>
      <w:tr w:rsidR="009E69C9" w:rsidTr="009E69C9">
        <w:tc>
          <w:tcPr>
            <w:tcW w:w="9855" w:type="dxa"/>
          </w:tcPr>
          <w:p w:rsidR="005919AE" w:rsidRPr="008070D3" w:rsidRDefault="002E5CD4" w:rsidP="00777B76">
            <w:pPr>
              <w:numPr>
                <w:ilvl w:val="0"/>
                <w:numId w:val="7"/>
              </w:numPr>
              <w:rPr>
                <w:rFonts w:eastAsiaTheme="minorEastAsia"/>
                <w:lang w:val="en-US" w:eastAsia="zh-CN"/>
              </w:rPr>
            </w:pPr>
            <w:r w:rsidRPr="008070D3">
              <w:rPr>
                <w:rFonts w:eastAsiaTheme="minorEastAsia"/>
                <w:lang w:eastAsia="zh-CN"/>
              </w:rPr>
              <w:t>Relationship between TDD and FDD requirements</w:t>
            </w:r>
            <w:r w:rsidRPr="008070D3">
              <w:rPr>
                <w:rFonts w:eastAsiaTheme="minorEastAsia"/>
                <w:lang w:eastAsia="zh-CN"/>
              </w:rPr>
              <w:br/>
              <w:t>Discuss in next meeting.</w:t>
            </w:r>
          </w:p>
          <w:p w:rsidR="005919AE" w:rsidRPr="008070D3" w:rsidRDefault="002E5CD4" w:rsidP="00777B76">
            <w:pPr>
              <w:numPr>
                <w:ilvl w:val="1"/>
                <w:numId w:val="7"/>
              </w:numPr>
              <w:rPr>
                <w:rFonts w:eastAsiaTheme="minorEastAsia"/>
                <w:lang w:val="en-US" w:eastAsia="zh-CN"/>
              </w:rPr>
            </w:pPr>
            <w:r w:rsidRPr="008070D3">
              <w:rPr>
                <w:rFonts w:eastAsiaTheme="minorEastAsia"/>
                <w:lang w:eastAsia="zh-CN"/>
              </w:rPr>
              <w:t>Option 1: Same requirements applicable for FDD and TDD; only one case simulated for result delivery.</w:t>
            </w:r>
            <w:r w:rsidRPr="008070D3">
              <w:rPr>
                <w:rFonts w:eastAsiaTheme="minorEastAsia"/>
                <w:lang w:eastAsia="zh-CN"/>
              </w:rPr>
              <w:br/>
              <w:t>Parameter tables show SRS mapping for FDD and TDD separately.</w:t>
            </w:r>
          </w:p>
          <w:p w:rsidR="008B290C" w:rsidRPr="00777B76" w:rsidRDefault="002E5CD4" w:rsidP="00777B76">
            <w:pPr>
              <w:numPr>
                <w:ilvl w:val="1"/>
                <w:numId w:val="7"/>
              </w:numPr>
              <w:rPr>
                <w:rFonts w:eastAsiaTheme="minorEastAsia"/>
                <w:lang w:val="en-US" w:eastAsia="zh-CN"/>
              </w:rPr>
            </w:pPr>
            <w:r w:rsidRPr="008070D3">
              <w:rPr>
                <w:rFonts w:eastAsiaTheme="minorEastAsia"/>
                <w:lang w:eastAsia="zh-CN"/>
              </w:rPr>
              <w:t>Option 2: Both FDD and TDD simulated. Decision of same requirements or different requirements applicable for FDD and TDD taken after simulation.</w:t>
            </w:r>
            <w:r w:rsidRPr="008070D3">
              <w:rPr>
                <w:rFonts w:eastAsiaTheme="minorEastAsia"/>
                <w:lang w:eastAsia="zh-CN"/>
              </w:rPr>
              <w:br/>
              <w:t>Parameter tables show SRS mapping for FDD and TDD separately.</w:t>
            </w:r>
          </w:p>
          <w:p w:rsidR="00374AE3" w:rsidRPr="00777B76" w:rsidRDefault="00C6751F" w:rsidP="001F11BD">
            <w:pPr>
              <w:numPr>
                <w:ilvl w:val="0"/>
                <w:numId w:val="7"/>
              </w:numPr>
              <w:rPr>
                <w:rFonts w:eastAsiaTheme="minorEastAsia"/>
                <w:lang w:val="en-US" w:eastAsia="zh-CN"/>
              </w:rPr>
            </w:pPr>
            <w:r w:rsidRPr="00777B76">
              <w:rPr>
                <w:rFonts w:eastAsiaTheme="minorEastAsia"/>
                <w:lang w:eastAsia="zh-CN"/>
              </w:rPr>
              <w:t>Slot allocation for PUSCH transmission in radio frames</w:t>
            </w:r>
          </w:p>
          <w:p w:rsidR="00374AE3" w:rsidRPr="00777B76" w:rsidRDefault="00C6751F" w:rsidP="001F11BD">
            <w:pPr>
              <w:numPr>
                <w:ilvl w:val="0"/>
                <w:numId w:val="7"/>
              </w:numPr>
              <w:ind w:leftChars="480" w:left="1320"/>
              <w:rPr>
                <w:rFonts w:eastAsiaTheme="minorEastAsia"/>
                <w:lang w:val="en-US" w:eastAsia="zh-CN"/>
              </w:rPr>
            </w:pPr>
            <w:r w:rsidRPr="00777B76">
              <w:rPr>
                <w:rFonts w:eastAsiaTheme="minorEastAsia"/>
                <w:lang w:eastAsia="zh-CN"/>
              </w:rPr>
              <w:t>Only capture to use TDD pattern according to the previous WF agreement.</w:t>
            </w:r>
            <w:r w:rsidRPr="00777B76">
              <w:rPr>
                <w:rFonts w:eastAsiaTheme="minorEastAsia"/>
                <w:lang w:eastAsia="zh-CN"/>
              </w:rPr>
              <w:br/>
              <w:t>Companies can use any of the below patterns for simulation evaluations. Specific FDD/TDD patterns will only be captured in the specification for final performance requirements definition if a big performance difference observed</w:t>
            </w:r>
          </w:p>
          <w:p w:rsidR="00374AE3" w:rsidRPr="00777B76" w:rsidRDefault="00C6751F" w:rsidP="001F11BD">
            <w:pPr>
              <w:numPr>
                <w:ilvl w:val="1"/>
                <w:numId w:val="7"/>
              </w:numPr>
              <w:ind w:leftChars="840" w:left="2040"/>
              <w:rPr>
                <w:rFonts w:eastAsiaTheme="minorEastAsia"/>
                <w:lang w:val="en-US" w:eastAsia="zh-CN"/>
              </w:rPr>
            </w:pPr>
            <w:r w:rsidRPr="00777B76">
              <w:rPr>
                <w:rFonts w:eastAsiaTheme="minorEastAsia"/>
                <w:lang w:eastAsia="zh-CN"/>
              </w:rPr>
              <w:t>Pattern 1:</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FDD:</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#0 and #8 in radio frames for which SFN mod 4 = 0</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#6 in radio frames for which SFN mod 4 = 1</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#4 in radio frames for which SFN mod 4 = 2</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#2 in radio frames for which SFN mod 4 = 3</w:t>
            </w:r>
          </w:p>
          <w:p w:rsidR="00777B76" w:rsidRPr="00777B76" w:rsidRDefault="00777B76" w:rsidP="001F11BD">
            <w:pPr>
              <w:ind w:leftChars="300" w:left="600"/>
              <w:rPr>
                <w:rFonts w:eastAsiaTheme="minorEastAsia"/>
                <w:lang w:val="en-US" w:eastAsia="zh-CN"/>
              </w:rPr>
            </w:pP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TDD in 15KHz SCS:</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#4 in each radio frames</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TDD in 30KHz SCS</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#8 and slot#18 in radio frames</w:t>
            </w:r>
          </w:p>
          <w:p w:rsidR="00374AE3" w:rsidRPr="00777B76" w:rsidRDefault="00C6751F" w:rsidP="001F11BD">
            <w:pPr>
              <w:numPr>
                <w:ilvl w:val="1"/>
                <w:numId w:val="7"/>
              </w:numPr>
              <w:ind w:leftChars="840" w:left="2040"/>
              <w:rPr>
                <w:rFonts w:eastAsiaTheme="minorEastAsia"/>
                <w:lang w:val="en-US" w:eastAsia="zh-CN"/>
              </w:rPr>
            </w:pPr>
            <w:r w:rsidRPr="00777B76">
              <w:rPr>
                <w:rFonts w:eastAsiaTheme="minorEastAsia"/>
                <w:lang w:eastAsia="zh-CN"/>
              </w:rPr>
              <w:t>Pattern 2</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FDD:</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All slots.</w:t>
            </w:r>
          </w:p>
          <w:p w:rsidR="00777B76" w:rsidRPr="00777B76" w:rsidRDefault="00777B76" w:rsidP="001F11BD">
            <w:pPr>
              <w:ind w:leftChars="300" w:left="600"/>
              <w:rPr>
                <w:rFonts w:eastAsiaTheme="minorEastAsia"/>
                <w:lang w:val="en-US" w:eastAsia="zh-CN"/>
              </w:rPr>
            </w:pP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TDD in 15KHz SCS:</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#4 and slot #9 in each radio frame</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For TDD in 30KHz SCS</w:t>
            </w:r>
          </w:p>
          <w:p w:rsidR="00374AE3" w:rsidRPr="00777B76" w:rsidRDefault="00C6751F" w:rsidP="001F11BD">
            <w:pPr>
              <w:numPr>
                <w:ilvl w:val="2"/>
                <w:numId w:val="7"/>
              </w:numPr>
              <w:ind w:leftChars="1200" w:left="2760"/>
              <w:rPr>
                <w:rFonts w:eastAsiaTheme="minorEastAsia"/>
                <w:lang w:val="en-US" w:eastAsia="zh-CN"/>
              </w:rPr>
            </w:pPr>
            <w:r w:rsidRPr="00777B76">
              <w:rPr>
                <w:rFonts w:eastAsiaTheme="minorEastAsia"/>
                <w:lang w:eastAsia="zh-CN"/>
              </w:rPr>
              <w:t>Slot #8, slot #9, slot #18, and slot #19 in each radio frame</w:t>
            </w:r>
          </w:p>
          <w:p w:rsidR="00777B76" w:rsidRPr="00777B76" w:rsidRDefault="00777B76" w:rsidP="00777B76">
            <w:pPr>
              <w:rPr>
                <w:rFonts w:eastAsiaTheme="minorEastAsia"/>
                <w:lang w:val="en-US" w:eastAsia="zh-CN"/>
              </w:rPr>
            </w:pPr>
          </w:p>
        </w:tc>
      </w:tr>
    </w:tbl>
    <w:p w:rsidR="002F40C3" w:rsidRDefault="002F40C3" w:rsidP="00BF0B5B">
      <w:pPr>
        <w:rPr>
          <w:lang w:eastAsia="zh-CN"/>
        </w:rPr>
      </w:pPr>
    </w:p>
    <w:p w:rsidR="00C825D1" w:rsidRDefault="00CF6DD0" w:rsidP="00BF0B5B">
      <w:pPr>
        <w:rPr>
          <w:lang w:eastAsia="zh-CN"/>
        </w:rPr>
      </w:pPr>
      <w:r>
        <w:rPr>
          <w:rFonts w:hint="eastAsia"/>
          <w:lang w:eastAsia="zh-CN"/>
        </w:rPr>
        <w:t xml:space="preserve">In Rel-15 normal PUSCH, one set of requirements is defined for both TDD and FDD. </w:t>
      </w:r>
      <w:r w:rsidR="00D97463">
        <w:rPr>
          <w:rFonts w:hint="eastAsia"/>
          <w:lang w:eastAsia="zh-CN"/>
        </w:rPr>
        <w:t xml:space="preserve">For the HST PUSCH, there is no technical difference observed with the normal PUSCH. </w:t>
      </w:r>
      <w:r w:rsidR="004D5AD9">
        <w:rPr>
          <w:rFonts w:hint="eastAsia"/>
          <w:lang w:eastAsia="zh-CN"/>
        </w:rPr>
        <w:t xml:space="preserve">Additionally, based on the simulation results from different companies </w:t>
      </w:r>
      <w:r w:rsidR="004D5AD9">
        <w:rPr>
          <w:lang w:eastAsia="zh-CN"/>
        </w:rPr>
        <w:t>submitted</w:t>
      </w:r>
      <w:r w:rsidR="004D5AD9">
        <w:rPr>
          <w:rFonts w:hint="eastAsia"/>
          <w:lang w:eastAsia="zh-CN"/>
        </w:rPr>
        <w:t xml:space="preserve"> in RAN4#94e meeting, the performance difference between TDD and FDD is small</w:t>
      </w:r>
      <w:r w:rsidR="00D97463">
        <w:rPr>
          <w:rFonts w:hint="eastAsia"/>
          <w:lang w:eastAsia="zh-CN"/>
        </w:rPr>
        <w:t xml:space="preserve"> and even </w:t>
      </w:r>
      <w:r w:rsidR="00D97463">
        <w:rPr>
          <w:lang w:eastAsia="zh-CN"/>
        </w:rPr>
        <w:t>negligible</w:t>
      </w:r>
      <w:r w:rsidR="004D5AD9">
        <w:rPr>
          <w:rFonts w:hint="eastAsia"/>
          <w:lang w:eastAsia="zh-CN"/>
        </w:rPr>
        <w:t>.</w:t>
      </w:r>
      <w:r w:rsidR="00D97463">
        <w:rPr>
          <w:rFonts w:hint="eastAsia"/>
          <w:lang w:eastAsia="zh-CN"/>
        </w:rPr>
        <w:t xml:space="preserve"> </w:t>
      </w:r>
      <w:r w:rsidR="00491187">
        <w:rPr>
          <w:rFonts w:hint="eastAsia"/>
          <w:lang w:eastAsia="zh-CN"/>
        </w:rPr>
        <w:t>The</w:t>
      </w:r>
      <w:r w:rsidR="00E35C1E">
        <w:rPr>
          <w:rFonts w:hint="eastAsia"/>
          <w:lang w:eastAsia="zh-CN"/>
        </w:rPr>
        <w:t xml:space="preserve"> different </w:t>
      </w:r>
      <w:r w:rsidR="00491187">
        <w:rPr>
          <w:rFonts w:hint="eastAsia"/>
          <w:lang w:eastAsia="zh-CN"/>
        </w:rPr>
        <w:t>slot allocation</w:t>
      </w:r>
      <w:r w:rsidR="00E35C1E">
        <w:rPr>
          <w:rFonts w:hint="eastAsia"/>
          <w:lang w:eastAsia="zh-CN"/>
        </w:rPr>
        <w:t>s</w:t>
      </w:r>
      <w:r w:rsidR="00491187">
        <w:rPr>
          <w:rFonts w:hint="eastAsia"/>
          <w:lang w:eastAsia="zh-CN"/>
        </w:rPr>
        <w:t xml:space="preserve"> for FDD and TDD </w:t>
      </w:r>
      <w:r w:rsidR="00E35C1E">
        <w:rPr>
          <w:rFonts w:hint="eastAsia"/>
          <w:lang w:eastAsia="zh-CN"/>
        </w:rPr>
        <w:t xml:space="preserve">have no impact on the 70% maximum throughput. </w:t>
      </w:r>
      <w:r>
        <w:rPr>
          <w:rFonts w:hint="eastAsia"/>
          <w:lang w:eastAsia="zh-CN"/>
        </w:rPr>
        <w:t>When it comes to HST PUSCH</w:t>
      </w:r>
      <w:r w:rsidR="008B2DA6">
        <w:rPr>
          <w:rFonts w:hint="eastAsia"/>
          <w:lang w:eastAsia="zh-CN"/>
        </w:rPr>
        <w:t xml:space="preserve">, the same methodology </w:t>
      </w:r>
      <w:r w:rsidR="00D97463">
        <w:rPr>
          <w:rFonts w:hint="eastAsia"/>
          <w:lang w:eastAsia="zh-CN"/>
        </w:rPr>
        <w:t xml:space="preserve">as the normal PUSCH </w:t>
      </w:r>
      <w:r w:rsidR="008B2DA6">
        <w:rPr>
          <w:rFonts w:hint="eastAsia"/>
          <w:lang w:eastAsia="zh-CN"/>
        </w:rPr>
        <w:t xml:space="preserve">should apply. </w:t>
      </w:r>
      <w:r w:rsidR="00D97463">
        <w:rPr>
          <w:rFonts w:hint="eastAsia"/>
          <w:lang w:eastAsia="zh-CN"/>
        </w:rPr>
        <w:t>Specifically, t</w:t>
      </w:r>
      <w:r w:rsidR="006F4ED0">
        <w:rPr>
          <w:rFonts w:hint="eastAsia"/>
          <w:lang w:eastAsia="zh-CN"/>
        </w:rPr>
        <w:t xml:space="preserve">he same requirements </w:t>
      </w:r>
      <w:r w:rsidR="002F5ED6">
        <w:rPr>
          <w:rFonts w:hint="eastAsia"/>
          <w:lang w:eastAsia="zh-CN"/>
        </w:rPr>
        <w:t xml:space="preserve">should be </w:t>
      </w:r>
      <w:r w:rsidR="006F4ED0">
        <w:rPr>
          <w:rFonts w:hint="eastAsia"/>
          <w:lang w:eastAsia="zh-CN"/>
        </w:rPr>
        <w:t>applicable</w:t>
      </w:r>
      <w:r w:rsidR="002F5ED6">
        <w:rPr>
          <w:rFonts w:hint="eastAsia"/>
          <w:lang w:eastAsia="zh-CN"/>
        </w:rPr>
        <w:t xml:space="preserve"> to both TDD and FDD. </w:t>
      </w:r>
      <w:r w:rsidR="00D97463">
        <w:rPr>
          <w:rFonts w:hint="eastAsia"/>
          <w:lang w:eastAsia="zh-CN"/>
        </w:rPr>
        <w:t>There is no need to simulate TDD and FDD separately for result delivery.</w:t>
      </w:r>
    </w:p>
    <w:p w:rsidR="00C825D1" w:rsidRPr="00E35C1E" w:rsidRDefault="00B505DF" w:rsidP="00BF0B5B">
      <w:pPr>
        <w:rPr>
          <w:b/>
          <w:lang w:eastAsia="zh-CN"/>
        </w:rPr>
      </w:pPr>
      <w:r w:rsidRPr="00BF0B5B">
        <w:rPr>
          <w:b/>
          <w:lang w:eastAsia="zh-CN"/>
        </w:rPr>
        <w:t xml:space="preserve">Proposal </w:t>
      </w:r>
      <w:r>
        <w:rPr>
          <w:rFonts w:hint="eastAsia"/>
          <w:b/>
          <w:lang w:eastAsia="zh-CN"/>
        </w:rPr>
        <w:t>1</w:t>
      </w:r>
      <w:r w:rsidRPr="00BF0B5B">
        <w:rPr>
          <w:b/>
          <w:lang w:eastAsia="zh-CN"/>
        </w:rPr>
        <w:t xml:space="preserve">: </w:t>
      </w:r>
      <w:r w:rsidR="004D5AD9">
        <w:rPr>
          <w:b/>
          <w:lang w:eastAsia="zh-CN"/>
        </w:rPr>
        <w:t xml:space="preserve">Option 1: </w:t>
      </w:r>
      <w:r w:rsidR="004D5AD9">
        <w:rPr>
          <w:rFonts w:hint="eastAsia"/>
          <w:b/>
          <w:lang w:eastAsia="zh-CN"/>
        </w:rPr>
        <w:t>s</w:t>
      </w:r>
      <w:r w:rsidRPr="00B505DF">
        <w:rPr>
          <w:b/>
          <w:lang w:eastAsia="zh-CN"/>
        </w:rPr>
        <w:t>ame requirements applicable for FDD and TDD; only one case simulated for result delivery.</w:t>
      </w:r>
    </w:p>
    <w:p w:rsidR="00DC7E6D" w:rsidRDefault="002A2D53" w:rsidP="00BF0B5B">
      <w:pPr>
        <w:rPr>
          <w:lang w:eastAsia="zh-CN"/>
        </w:rPr>
      </w:pPr>
      <w:r>
        <w:rPr>
          <w:rFonts w:hint="eastAsia"/>
          <w:lang w:eastAsia="zh-CN"/>
        </w:rPr>
        <w:t xml:space="preserve">In the current simulation result </w:t>
      </w:r>
      <w:r>
        <w:rPr>
          <w:lang w:eastAsia="zh-CN"/>
        </w:rPr>
        <w:t>template</w:t>
      </w:r>
      <w:r>
        <w:rPr>
          <w:rFonts w:hint="eastAsia"/>
          <w:lang w:eastAsia="zh-CN"/>
        </w:rPr>
        <w:t xml:space="preserve"> [2], PUSCH transmission are operated with either FDD or TDD while SRS </w:t>
      </w:r>
      <w:r>
        <w:rPr>
          <w:lang w:eastAsia="zh-CN"/>
        </w:rPr>
        <w:t>transmission</w:t>
      </w:r>
      <w:r>
        <w:rPr>
          <w:rFonts w:hint="eastAsia"/>
          <w:lang w:eastAsia="zh-CN"/>
        </w:rPr>
        <w:t xml:space="preserve"> is enable or disabled. Based on above analysis</w:t>
      </w:r>
      <w:r w:rsidR="006F4ED0">
        <w:rPr>
          <w:rFonts w:hint="eastAsia"/>
          <w:lang w:eastAsia="zh-CN"/>
        </w:rPr>
        <w:t>, the FDD and TDD can be removed in the template</w:t>
      </w:r>
      <w:r w:rsidR="002F5ED6">
        <w:rPr>
          <w:rFonts w:hint="eastAsia"/>
          <w:lang w:eastAsia="zh-CN"/>
        </w:rPr>
        <w:t xml:space="preserve"> </w:t>
      </w:r>
      <w:r w:rsidR="002F7C97">
        <w:rPr>
          <w:rFonts w:hint="eastAsia"/>
          <w:lang w:eastAsia="zh-CN"/>
        </w:rPr>
        <w:t xml:space="preserve">as </w:t>
      </w:r>
      <w:r w:rsidR="002F5ED6">
        <w:rPr>
          <w:rFonts w:hint="eastAsia"/>
          <w:lang w:eastAsia="zh-CN"/>
        </w:rPr>
        <w:t xml:space="preserve">the same requirements should be applicable to both TDD and FDD. </w:t>
      </w:r>
      <w:r w:rsidR="004042D3">
        <w:rPr>
          <w:rFonts w:hint="eastAsia"/>
          <w:lang w:eastAsia="zh-CN"/>
        </w:rPr>
        <w:t>The SRS transmission for PUSCH UL TA is optional</w:t>
      </w:r>
      <w:r w:rsidR="004E01A6">
        <w:rPr>
          <w:rFonts w:hint="eastAsia"/>
          <w:lang w:eastAsia="zh-CN"/>
        </w:rPr>
        <w:t xml:space="preserve"> so there is no need to divide SRS transmission into enabled and disabled </w:t>
      </w:r>
      <w:r w:rsidR="00C825D1">
        <w:rPr>
          <w:rFonts w:hint="eastAsia"/>
          <w:lang w:eastAsia="zh-CN"/>
        </w:rPr>
        <w:t xml:space="preserve">separately </w:t>
      </w:r>
      <w:r w:rsidR="004E01A6">
        <w:rPr>
          <w:rFonts w:hint="eastAsia"/>
          <w:lang w:eastAsia="zh-CN"/>
        </w:rPr>
        <w:t xml:space="preserve">in the template. It is proposed to change </w:t>
      </w:r>
      <w:r w:rsidR="00D04988">
        <w:rPr>
          <w:rFonts w:hint="eastAsia"/>
          <w:lang w:eastAsia="zh-CN"/>
        </w:rPr>
        <w:t>with</w:t>
      </w:r>
      <w:r w:rsidR="004E01A6">
        <w:rPr>
          <w:rFonts w:hint="eastAsia"/>
          <w:lang w:eastAsia="zh-CN"/>
        </w:rPr>
        <w:t xml:space="preserve"> </w:t>
      </w:r>
      <w:r w:rsidR="004E01A6" w:rsidRPr="00C825D1">
        <w:rPr>
          <w:rFonts w:hint="eastAsia"/>
          <w:b/>
          <w:lang w:eastAsia="zh-CN"/>
        </w:rPr>
        <w:t>enabled or disable</w:t>
      </w:r>
      <w:r w:rsidR="004E01A6">
        <w:rPr>
          <w:rFonts w:hint="eastAsia"/>
          <w:lang w:eastAsia="zh-CN"/>
        </w:rPr>
        <w:t xml:space="preserve"> </w:t>
      </w:r>
      <w:r w:rsidR="00D04988">
        <w:rPr>
          <w:rFonts w:hint="eastAsia"/>
          <w:lang w:eastAsia="zh-CN"/>
        </w:rPr>
        <w:t xml:space="preserve">for SRS transmission </w:t>
      </w:r>
      <w:r w:rsidR="004E01A6">
        <w:rPr>
          <w:rFonts w:hint="eastAsia"/>
          <w:lang w:eastAsia="zh-CN"/>
        </w:rPr>
        <w:t xml:space="preserve">for all cases. </w:t>
      </w:r>
    </w:p>
    <w:p w:rsidR="002F5ED6" w:rsidRDefault="002F5ED6" w:rsidP="002F5ED6">
      <w:pPr>
        <w:rPr>
          <w:b/>
          <w:lang w:eastAsia="zh-CN"/>
        </w:rPr>
      </w:pPr>
      <w:r w:rsidRPr="00BF0B5B">
        <w:rPr>
          <w:b/>
          <w:lang w:eastAsia="zh-CN"/>
        </w:rPr>
        <w:t xml:space="preserve">Proposal </w:t>
      </w:r>
      <w:r>
        <w:rPr>
          <w:rFonts w:hint="eastAsia"/>
          <w:b/>
          <w:lang w:eastAsia="zh-CN"/>
        </w:rPr>
        <w:t>2</w:t>
      </w:r>
      <w:r w:rsidRPr="00BF0B5B">
        <w:rPr>
          <w:b/>
          <w:lang w:eastAsia="zh-CN"/>
        </w:rPr>
        <w:t xml:space="preserve">: </w:t>
      </w:r>
      <w:r>
        <w:rPr>
          <w:rFonts w:hint="eastAsia"/>
          <w:b/>
          <w:lang w:eastAsia="zh-CN"/>
        </w:rPr>
        <w:t xml:space="preserve">Remove the FDD and TDD columns </w:t>
      </w:r>
      <w:r w:rsidR="00D04988">
        <w:rPr>
          <w:rFonts w:hint="eastAsia"/>
          <w:b/>
          <w:lang w:eastAsia="zh-CN"/>
        </w:rPr>
        <w:t xml:space="preserve">for PUSCH transmission </w:t>
      </w:r>
      <w:r>
        <w:rPr>
          <w:rFonts w:hint="eastAsia"/>
          <w:b/>
          <w:lang w:eastAsia="zh-CN"/>
        </w:rPr>
        <w:t xml:space="preserve">and </w:t>
      </w:r>
      <w:r w:rsidR="004E01A6">
        <w:rPr>
          <w:rFonts w:hint="eastAsia"/>
          <w:b/>
          <w:lang w:eastAsia="zh-CN"/>
        </w:rPr>
        <w:t xml:space="preserve">change SRS transmission </w:t>
      </w:r>
      <w:r w:rsidR="00D04988">
        <w:rPr>
          <w:rFonts w:hint="eastAsia"/>
          <w:b/>
          <w:lang w:eastAsia="zh-CN"/>
        </w:rPr>
        <w:t xml:space="preserve">with </w:t>
      </w:r>
      <w:r w:rsidR="004E01A6">
        <w:rPr>
          <w:rFonts w:hint="eastAsia"/>
          <w:b/>
          <w:lang w:eastAsia="zh-CN"/>
        </w:rPr>
        <w:t>enabled or disabled for all cases.</w:t>
      </w: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w:t>
      </w:r>
      <w:r w:rsidR="00872DF1" w:rsidRPr="00B3392A">
        <w:rPr>
          <w:rFonts w:hint="eastAsia"/>
        </w:rPr>
        <w:t xml:space="preserve">the </w:t>
      </w:r>
      <w:r w:rsidR="00872DF1">
        <w:rPr>
          <w:rFonts w:eastAsiaTheme="minorEastAsia" w:hint="eastAsia"/>
        </w:rPr>
        <w:t>r</w:t>
      </w:r>
      <w:r w:rsidR="00872DF1" w:rsidRPr="008070D3">
        <w:rPr>
          <w:rFonts w:eastAsiaTheme="minorEastAsia"/>
        </w:rPr>
        <w:t>elationship between TDD and FDD requirements</w:t>
      </w:r>
      <w:r w:rsidR="00872DF1">
        <w:rPr>
          <w:rFonts w:eastAsiaTheme="minorEastAsia" w:hint="eastAsia"/>
        </w:rPr>
        <w:t xml:space="preserve"> and slot allocation in radio frames for HST PUSCH</w:t>
      </w:r>
      <w:r>
        <w:rPr>
          <w:rFonts w:hint="eastAsia"/>
          <w:lang w:val="en-GB"/>
        </w:rPr>
        <w:t xml:space="preserve"> is primarily analysed including PUSCH and PRACH.</w:t>
      </w:r>
      <w:r>
        <w:rPr>
          <w:rFonts w:hint="eastAsia"/>
        </w:rPr>
        <w:t xml:space="preserve"> </w:t>
      </w:r>
      <w:r w:rsidR="00F148AC">
        <w:rPr>
          <w:rFonts w:hint="eastAsia"/>
        </w:rPr>
        <w:t>The following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E35C1E" w:rsidRPr="00E35C1E" w:rsidRDefault="00E35C1E" w:rsidP="00E35C1E">
      <w:pPr>
        <w:rPr>
          <w:b/>
          <w:lang w:eastAsia="zh-CN"/>
        </w:rPr>
      </w:pPr>
      <w:r w:rsidRPr="00BF0B5B">
        <w:rPr>
          <w:b/>
          <w:lang w:eastAsia="zh-CN"/>
        </w:rPr>
        <w:t xml:space="preserve">Proposal </w:t>
      </w:r>
      <w:r>
        <w:rPr>
          <w:rFonts w:hint="eastAsia"/>
          <w:b/>
          <w:lang w:eastAsia="zh-CN"/>
        </w:rPr>
        <w:t>1</w:t>
      </w:r>
      <w:r w:rsidRPr="00BF0B5B">
        <w:rPr>
          <w:b/>
          <w:lang w:eastAsia="zh-CN"/>
        </w:rPr>
        <w:t xml:space="preserve">: </w:t>
      </w:r>
      <w:r>
        <w:rPr>
          <w:b/>
          <w:lang w:eastAsia="zh-CN"/>
        </w:rPr>
        <w:t xml:space="preserve">Option 1: </w:t>
      </w:r>
      <w:r>
        <w:rPr>
          <w:rFonts w:hint="eastAsia"/>
          <w:b/>
          <w:lang w:eastAsia="zh-CN"/>
        </w:rPr>
        <w:t>s</w:t>
      </w:r>
      <w:r w:rsidRPr="00B505DF">
        <w:rPr>
          <w:b/>
          <w:lang w:eastAsia="zh-CN"/>
        </w:rPr>
        <w:t>ame requirements applicable for FDD and TDD; only one case simulated for result delivery.</w:t>
      </w:r>
    </w:p>
    <w:p w:rsidR="00E35C1E" w:rsidRDefault="00E35C1E" w:rsidP="00E35C1E">
      <w:pPr>
        <w:rPr>
          <w:b/>
          <w:lang w:eastAsia="zh-CN"/>
        </w:rPr>
      </w:pPr>
      <w:r w:rsidRPr="00BF0B5B">
        <w:rPr>
          <w:b/>
          <w:lang w:eastAsia="zh-CN"/>
        </w:rPr>
        <w:t xml:space="preserve">Proposal </w:t>
      </w:r>
      <w:r>
        <w:rPr>
          <w:rFonts w:hint="eastAsia"/>
          <w:b/>
          <w:lang w:eastAsia="zh-CN"/>
        </w:rPr>
        <w:t>2</w:t>
      </w:r>
      <w:r w:rsidRPr="00BF0B5B">
        <w:rPr>
          <w:b/>
          <w:lang w:eastAsia="zh-CN"/>
        </w:rPr>
        <w:t xml:space="preserve">: </w:t>
      </w:r>
      <w:r>
        <w:rPr>
          <w:rFonts w:hint="eastAsia"/>
          <w:b/>
          <w:lang w:eastAsia="zh-CN"/>
        </w:rPr>
        <w:t>Remove the FDD and TDD columns for PUSCH transmission and change SRS transmission with enabled or disabled for all cases.</w:t>
      </w:r>
    </w:p>
    <w:p w:rsidR="009F5222" w:rsidRPr="00E35C1E" w:rsidRDefault="009F5222" w:rsidP="009F5222">
      <w:pPr>
        <w:rPr>
          <w:b/>
          <w:lang w:eastAsia="zh-CN"/>
        </w:rPr>
      </w:pPr>
    </w:p>
    <w:p w:rsidR="007B3883" w:rsidRDefault="006C77F8">
      <w:pPr>
        <w:pStyle w:val="10"/>
        <w:numPr>
          <w:ilvl w:val="0"/>
          <w:numId w:val="4"/>
        </w:numPr>
      </w:pPr>
      <w:r w:rsidRPr="006B59E9">
        <w:lastRenderedPageBreak/>
        <w:t>References</w:t>
      </w:r>
    </w:p>
    <w:bookmarkEnd w:id="0"/>
    <w:bookmarkEnd w:id="1"/>
    <w:p w:rsidR="001E3D65" w:rsidRPr="004B76D5" w:rsidRDefault="001E3D65" w:rsidP="009B0650">
      <w:pPr>
        <w:numPr>
          <w:ilvl w:val="0"/>
          <w:numId w:val="5"/>
        </w:numPr>
        <w:rPr>
          <w:lang w:val="en-US" w:eastAsia="zh-CN"/>
        </w:rPr>
      </w:pPr>
      <w:r w:rsidRPr="004B76D5">
        <w:rPr>
          <w:lang w:val="en-US" w:eastAsia="zh-CN"/>
        </w:rPr>
        <w:t>R4-2002405</w:t>
      </w:r>
      <w:r w:rsidRPr="004B76D5">
        <w:rPr>
          <w:rFonts w:hint="eastAsia"/>
          <w:lang w:val="en-US" w:eastAsia="zh-CN"/>
        </w:rPr>
        <w:t xml:space="preserve">, </w:t>
      </w:r>
      <w:r w:rsidRPr="004B76D5">
        <w:rPr>
          <w:lang w:eastAsia="zh-CN"/>
        </w:rPr>
        <w:t>WF on Rel-16 NR HST BS demodulation requirements</w:t>
      </w:r>
      <w:r w:rsidRPr="004B76D5">
        <w:rPr>
          <w:rFonts w:hint="eastAsia"/>
          <w:lang w:eastAsia="zh-CN"/>
        </w:rPr>
        <w:t xml:space="preserve">, </w:t>
      </w:r>
      <w:r w:rsidRPr="004B76D5">
        <w:rPr>
          <w:lang w:eastAsia="zh-CN"/>
        </w:rPr>
        <w:t>Nokia, Nokia Shanghai Bell</w:t>
      </w:r>
      <w:r w:rsidR="009B0650" w:rsidRPr="004B76D5">
        <w:rPr>
          <w:rFonts w:hint="eastAsia"/>
          <w:lang w:eastAsia="zh-CN"/>
        </w:rPr>
        <w:t>, RAN4#94e</w:t>
      </w:r>
    </w:p>
    <w:p w:rsidR="00C825D1" w:rsidRPr="004B76D5" w:rsidRDefault="00C825D1" w:rsidP="009B0650">
      <w:pPr>
        <w:numPr>
          <w:ilvl w:val="0"/>
          <w:numId w:val="5"/>
        </w:numPr>
        <w:rPr>
          <w:lang w:val="en-US" w:eastAsia="zh-CN"/>
        </w:rPr>
      </w:pPr>
      <w:r w:rsidRPr="004B76D5">
        <w:rPr>
          <w:lang w:val="en-US" w:eastAsia="zh-CN"/>
        </w:rPr>
        <w:t>R4-20024</w:t>
      </w:r>
      <w:r w:rsidRPr="004B76D5">
        <w:rPr>
          <w:rFonts w:hint="eastAsia"/>
          <w:lang w:val="en-US" w:eastAsia="zh-CN"/>
        </w:rPr>
        <w:t xml:space="preserve">17, </w:t>
      </w:r>
      <w:r w:rsidRPr="004B76D5">
        <w:rPr>
          <w:lang w:val="en-US" w:eastAsia="zh-CN"/>
        </w:rPr>
        <w:t>Summary of ideal and impairment results for NR HST demodulation requirements</w:t>
      </w:r>
      <w:r w:rsidRPr="004B76D5">
        <w:rPr>
          <w:rFonts w:hint="eastAsia"/>
          <w:lang w:val="en-US" w:eastAsia="zh-CN"/>
        </w:rPr>
        <w:t>, CATT</w:t>
      </w:r>
      <w:r w:rsidR="009B0650" w:rsidRPr="004B76D5">
        <w:rPr>
          <w:rFonts w:hint="eastAsia"/>
          <w:lang w:eastAsia="zh-CN"/>
        </w:rPr>
        <w:t>, RAN4#94e</w:t>
      </w:r>
    </w:p>
    <w:p w:rsidR="00C530BA" w:rsidRPr="00525A26" w:rsidRDefault="00C530BA" w:rsidP="00C530BA">
      <w:pPr>
        <w:ind w:left="41"/>
        <w:rPr>
          <w:sz w:val="21"/>
          <w:szCs w:val="21"/>
          <w:lang w:val="en-US" w:eastAsia="zh-CN"/>
        </w:rPr>
      </w:pPr>
    </w:p>
    <w:sectPr w:rsidR="00C530BA" w:rsidRPr="00525A2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19E" w:rsidRDefault="0006319E">
      <w:r>
        <w:separator/>
      </w:r>
    </w:p>
  </w:endnote>
  <w:endnote w:type="continuationSeparator" w:id="0">
    <w:p w:rsidR="0006319E" w:rsidRDefault="0006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19E" w:rsidRDefault="0006319E">
      <w:r>
        <w:separator/>
      </w:r>
    </w:p>
  </w:footnote>
  <w:footnote w:type="continuationSeparator" w:id="0">
    <w:p w:rsidR="0006319E" w:rsidRDefault="00063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D6269"/>
    <w:multiLevelType w:val="hybridMultilevel"/>
    <w:tmpl w:val="1F649870"/>
    <w:lvl w:ilvl="0" w:tplc="709EF388">
      <w:start w:val="1"/>
      <w:numFmt w:val="bullet"/>
      <w:lvlText w:val="•"/>
      <w:lvlJc w:val="left"/>
      <w:pPr>
        <w:tabs>
          <w:tab w:val="num" w:pos="720"/>
        </w:tabs>
        <w:ind w:left="720" w:hanging="360"/>
      </w:pPr>
      <w:rPr>
        <w:rFonts w:ascii="Arial" w:hAnsi="Arial" w:hint="default"/>
      </w:rPr>
    </w:lvl>
    <w:lvl w:ilvl="1" w:tplc="6F20B876">
      <w:start w:val="2698"/>
      <w:numFmt w:val="bullet"/>
      <w:lvlText w:val="–"/>
      <w:lvlJc w:val="left"/>
      <w:pPr>
        <w:tabs>
          <w:tab w:val="num" w:pos="1440"/>
        </w:tabs>
        <w:ind w:left="1440" w:hanging="360"/>
      </w:pPr>
      <w:rPr>
        <w:rFonts w:ascii="Arial" w:hAnsi="Arial" w:hint="default"/>
      </w:rPr>
    </w:lvl>
    <w:lvl w:ilvl="2" w:tplc="2DC2C96A" w:tentative="1">
      <w:start w:val="1"/>
      <w:numFmt w:val="bullet"/>
      <w:lvlText w:val="•"/>
      <w:lvlJc w:val="left"/>
      <w:pPr>
        <w:tabs>
          <w:tab w:val="num" w:pos="2160"/>
        </w:tabs>
        <w:ind w:left="2160" w:hanging="360"/>
      </w:pPr>
      <w:rPr>
        <w:rFonts w:ascii="Arial" w:hAnsi="Arial" w:hint="default"/>
      </w:rPr>
    </w:lvl>
    <w:lvl w:ilvl="3" w:tplc="9BFA55AE" w:tentative="1">
      <w:start w:val="1"/>
      <w:numFmt w:val="bullet"/>
      <w:lvlText w:val="•"/>
      <w:lvlJc w:val="left"/>
      <w:pPr>
        <w:tabs>
          <w:tab w:val="num" w:pos="2880"/>
        </w:tabs>
        <w:ind w:left="2880" w:hanging="360"/>
      </w:pPr>
      <w:rPr>
        <w:rFonts w:ascii="Arial" w:hAnsi="Arial" w:hint="default"/>
      </w:rPr>
    </w:lvl>
    <w:lvl w:ilvl="4" w:tplc="503ECDF2" w:tentative="1">
      <w:start w:val="1"/>
      <w:numFmt w:val="bullet"/>
      <w:lvlText w:val="•"/>
      <w:lvlJc w:val="left"/>
      <w:pPr>
        <w:tabs>
          <w:tab w:val="num" w:pos="3600"/>
        </w:tabs>
        <w:ind w:left="3600" w:hanging="360"/>
      </w:pPr>
      <w:rPr>
        <w:rFonts w:ascii="Arial" w:hAnsi="Arial" w:hint="default"/>
      </w:rPr>
    </w:lvl>
    <w:lvl w:ilvl="5" w:tplc="4B520E9C" w:tentative="1">
      <w:start w:val="1"/>
      <w:numFmt w:val="bullet"/>
      <w:lvlText w:val="•"/>
      <w:lvlJc w:val="left"/>
      <w:pPr>
        <w:tabs>
          <w:tab w:val="num" w:pos="4320"/>
        </w:tabs>
        <w:ind w:left="4320" w:hanging="360"/>
      </w:pPr>
      <w:rPr>
        <w:rFonts w:ascii="Arial" w:hAnsi="Arial" w:hint="default"/>
      </w:rPr>
    </w:lvl>
    <w:lvl w:ilvl="6" w:tplc="C17095E6" w:tentative="1">
      <w:start w:val="1"/>
      <w:numFmt w:val="bullet"/>
      <w:lvlText w:val="•"/>
      <w:lvlJc w:val="left"/>
      <w:pPr>
        <w:tabs>
          <w:tab w:val="num" w:pos="5040"/>
        </w:tabs>
        <w:ind w:left="5040" w:hanging="360"/>
      </w:pPr>
      <w:rPr>
        <w:rFonts w:ascii="Arial" w:hAnsi="Arial" w:hint="default"/>
      </w:rPr>
    </w:lvl>
    <w:lvl w:ilvl="7" w:tplc="06EA8B64" w:tentative="1">
      <w:start w:val="1"/>
      <w:numFmt w:val="bullet"/>
      <w:lvlText w:val="•"/>
      <w:lvlJc w:val="left"/>
      <w:pPr>
        <w:tabs>
          <w:tab w:val="num" w:pos="5760"/>
        </w:tabs>
        <w:ind w:left="5760" w:hanging="360"/>
      </w:pPr>
      <w:rPr>
        <w:rFonts w:ascii="Arial" w:hAnsi="Arial" w:hint="default"/>
      </w:rPr>
    </w:lvl>
    <w:lvl w:ilvl="8" w:tplc="0562C4F0"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5DA42700"/>
    <w:multiLevelType w:val="hybridMultilevel"/>
    <w:tmpl w:val="EC9E02F6"/>
    <w:lvl w:ilvl="0" w:tplc="D1A099C0">
      <w:start w:val="1"/>
      <w:numFmt w:val="bullet"/>
      <w:lvlText w:val="–"/>
      <w:lvlJc w:val="left"/>
      <w:pPr>
        <w:tabs>
          <w:tab w:val="num" w:pos="720"/>
        </w:tabs>
        <w:ind w:left="720" w:hanging="360"/>
      </w:pPr>
      <w:rPr>
        <w:rFonts w:ascii="Arial" w:hAnsi="Arial" w:hint="default"/>
      </w:rPr>
    </w:lvl>
    <w:lvl w:ilvl="1" w:tplc="D0AE491E">
      <w:start w:val="1"/>
      <w:numFmt w:val="bullet"/>
      <w:lvlText w:val="–"/>
      <w:lvlJc w:val="left"/>
      <w:pPr>
        <w:tabs>
          <w:tab w:val="num" w:pos="1440"/>
        </w:tabs>
        <w:ind w:left="1440" w:hanging="360"/>
      </w:pPr>
      <w:rPr>
        <w:rFonts w:ascii="Arial" w:hAnsi="Arial" w:hint="default"/>
      </w:rPr>
    </w:lvl>
    <w:lvl w:ilvl="2" w:tplc="6756C762">
      <w:start w:val="1777"/>
      <w:numFmt w:val="bullet"/>
      <w:lvlText w:val="•"/>
      <w:lvlJc w:val="left"/>
      <w:pPr>
        <w:tabs>
          <w:tab w:val="num" w:pos="2160"/>
        </w:tabs>
        <w:ind w:left="2160" w:hanging="360"/>
      </w:pPr>
      <w:rPr>
        <w:rFonts w:ascii="Arial" w:hAnsi="Arial" w:hint="default"/>
      </w:rPr>
    </w:lvl>
    <w:lvl w:ilvl="3" w:tplc="B92A2B86">
      <w:start w:val="1777"/>
      <w:numFmt w:val="bullet"/>
      <w:lvlText w:val="–"/>
      <w:lvlJc w:val="left"/>
      <w:pPr>
        <w:tabs>
          <w:tab w:val="num" w:pos="2880"/>
        </w:tabs>
        <w:ind w:left="2880" w:hanging="360"/>
      </w:pPr>
      <w:rPr>
        <w:rFonts w:ascii="Arial" w:hAnsi="Arial" w:hint="default"/>
      </w:rPr>
    </w:lvl>
    <w:lvl w:ilvl="4" w:tplc="07DAA0D0">
      <w:start w:val="1777"/>
      <w:numFmt w:val="bullet"/>
      <w:lvlText w:val="»"/>
      <w:lvlJc w:val="left"/>
      <w:pPr>
        <w:tabs>
          <w:tab w:val="num" w:pos="3600"/>
        </w:tabs>
        <w:ind w:left="3600" w:hanging="360"/>
      </w:pPr>
      <w:rPr>
        <w:rFonts w:ascii="Arial" w:hAnsi="Arial" w:hint="default"/>
      </w:rPr>
    </w:lvl>
    <w:lvl w:ilvl="5" w:tplc="DDC0C37C" w:tentative="1">
      <w:start w:val="1"/>
      <w:numFmt w:val="bullet"/>
      <w:lvlText w:val="–"/>
      <w:lvlJc w:val="left"/>
      <w:pPr>
        <w:tabs>
          <w:tab w:val="num" w:pos="4320"/>
        </w:tabs>
        <w:ind w:left="4320" w:hanging="360"/>
      </w:pPr>
      <w:rPr>
        <w:rFonts w:ascii="Arial" w:hAnsi="Arial" w:hint="default"/>
      </w:rPr>
    </w:lvl>
    <w:lvl w:ilvl="6" w:tplc="085C19D4" w:tentative="1">
      <w:start w:val="1"/>
      <w:numFmt w:val="bullet"/>
      <w:lvlText w:val="–"/>
      <w:lvlJc w:val="left"/>
      <w:pPr>
        <w:tabs>
          <w:tab w:val="num" w:pos="5040"/>
        </w:tabs>
        <w:ind w:left="5040" w:hanging="360"/>
      </w:pPr>
      <w:rPr>
        <w:rFonts w:ascii="Arial" w:hAnsi="Arial" w:hint="default"/>
      </w:rPr>
    </w:lvl>
    <w:lvl w:ilvl="7" w:tplc="4C4C6B6C" w:tentative="1">
      <w:start w:val="1"/>
      <w:numFmt w:val="bullet"/>
      <w:lvlText w:val="–"/>
      <w:lvlJc w:val="left"/>
      <w:pPr>
        <w:tabs>
          <w:tab w:val="num" w:pos="5760"/>
        </w:tabs>
        <w:ind w:left="5760" w:hanging="360"/>
      </w:pPr>
      <w:rPr>
        <w:rFonts w:ascii="Arial" w:hAnsi="Arial" w:hint="default"/>
      </w:rPr>
    </w:lvl>
    <w:lvl w:ilvl="8" w:tplc="A9081B18"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4"/>
  </w:num>
  <w:num w:numId="6">
    <w:abstractNumId w:val="9"/>
  </w:num>
  <w:num w:numId="7">
    <w:abstractNumId w:val="1"/>
  </w:num>
  <w:num w:numId="8">
    <w:abstractNumId w:val="3"/>
  </w:num>
  <w:num w:numId="9">
    <w:abstractNumId w:val="0"/>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19E"/>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4F90"/>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2E01"/>
    <w:rsid w:val="000F3D78"/>
    <w:rsid w:val="000F4DBD"/>
    <w:rsid w:val="000F5554"/>
    <w:rsid w:val="000F5C34"/>
    <w:rsid w:val="000F5E33"/>
    <w:rsid w:val="000F6160"/>
    <w:rsid w:val="000F6468"/>
    <w:rsid w:val="000F7BA4"/>
    <w:rsid w:val="0010197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462B8"/>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1BD"/>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8712A"/>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2D5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5CD4"/>
    <w:rsid w:val="002E6EC6"/>
    <w:rsid w:val="002E72CF"/>
    <w:rsid w:val="002F028A"/>
    <w:rsid w:val="002F0550"/>
    <w:rsid w:val="002F0AF3"/>
    <w:rsid w:val="002F0B95"/>
    <w:rsid w:val="002F1DF7"/>
    <w:rsid w:val="002F40C3"/>
    <w:rsid w:val="002F4A58"/>
    <w:rsid w:val="002F4DAF"/>
    <w:rsid w:val="002F5700"/>
    <w:rsid w:val="002F5ED6"/>
    <w:rsid w:val="002F63B8"/>
    <w:rsid w:val="002F67AD"/>
    <w:rsid w:val="002F6860"/>
    <w:rsid w:val="002F7C97"/>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1D5"/>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4AE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2D3"/>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1187"/>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6D5"/>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AD9"/>
    <w:rsid w:val="004D5B50"/>
    <w:rsid w:val="004D69BF"/>
    <w:rsid w:val="004D7001"/>
    <w:rsid w:val="004D7A99"/>
    <w:rsid w:val="004E01A6"/>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97"/>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19AE"/>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5995"/>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56C"/>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1599"/>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534B"/>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4ED0"/>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D14"/>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B76"/>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0D3"/>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DF1"/>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2DA6"/>
    <w:rsid w:val="008B3501"/>
    <w:rsid w:val="008B3EBF"/>
    <w:rsid w:val="008B3F30"/>
    <w:rsid w:val="008B4473"/>
    <w:rsid w:val="008B4A55"/>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27C17"/>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167D"/>
    <w:rsid w:val="009A23D7"/>
    <w:rsid w:val="009A43A9"/>
    <w:rsid w:val="009A43F0"/>
    <w:rsid w:val="009A4553"/>
    <w:rsid w:val="009A4FAA"/>
    <w:rsid w:val="009A51A5"/>
    <w:rsid w:val="009A552A"/>
    <w:rsid w:val="009A579D"/>
    <w:rsid w:val="009A625D"/>
    <w:rsid w:val="009A6B07"/>
    <w:rsid w:val="009A7C05"/>
    <w:rsid w:val="009A7E68"/>
    <w:rsid w:val="009B003E"/>
    <w:rsid w:val="009B0650"/>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0F61"/>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467"/>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5DF"/>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1F"/>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5D1"/>
    <w:rsid w:val="00C82D3C"/>
    <w:rsid w:val="00C83325"/>
    <w:rsid w:val="00C83B30"/>
    <w:rsid w:val="00C83E58"/>
    <w:rsid w:val="00C83EE5"/>
    <w:rsid w:val="00C846DD"/>
    <w:rsid w:val="00C86E41"/>
    <w:rsid w:val="00C86EB2"/>
    <w:rsid w:val="00C86F46"/>
    <w:rsid w:val="00C87E78"/>
    <w:rsid w:val="00C87F2D"/>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6DD0"/>
    <w:rsid w:val="00CF7148"/>
    <w:rsid w:val="00D01D7B"/>
    <w:rsid w:val="00D01D86"/>
    <w:rsid w:val="00D01F51"/>
    <w:rsid w:val="00D02740"/>
    <w:rsid w:val="00D02EE6"/>
    <w:rsid w:val="00D03E90"/>
    <w:rsid w:val="00D03F9A"/>
    <w:rsid w:val="00D0423F"/>
    <w:rsid w:val="00D04988"/>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463"/>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4766"/>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C7E6D"/>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C1E"/>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1659"/>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3A8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4492942">
      <w:bodyDiv w:val="1"/>
      <w:marLeft w:val="0"/>
      <w:marRight w:val="0"/>
      <w:marTop w:val="0"/>
      <w:marBottom w:val="0"/>
      <w:divBdr>
        <w:top w:val="none" w:sz="0" w:space="0" w:color="auto"/>
        <w:left w:val="none" w:sz="0" w:space="0" w:color="auto"/>
        <w:bottom w:val="none" w:sz="0" w:space="0" w:color="auto"/>
        <w:right w:val="none" w:sz="0" w:space="0" w:color="auto"/>
      </w:divBdr>
      <w:divsChild>
        <w:div w:id="144324302">
          <w:marLeft w:val="1166"/>
          <w:marRight w:val="0"/>
          <w:marTop w:val="106"/>
          <w:marBottom w:val="0"/>
          <w:divBdr>
            <w:top w:val="none" w:sz="0" w:space="0" w:color="auto"/>
            <w:left w:val="none" w:sz="0" w:space="0" w:color="auto"/>
            <w:bottom w:val="none" w:sz="0" w:space="0" w:color="auto"/>
            <w:right w:val="none" w:sz="0" w:space="0" w:color="auto"/>
          </w:divBdr>
        </w:div>
        <w:div w:id="1000810941">
          <w:marLeft w:val="547"/>
          <w:marRight w:val="0"/>
          <w:marTop w:val="125"/>
          <w:marBottom w:val="0"/>
          <w:divBdr>
            <w:top w:val="none" w:sz="0" w:space="0" w:color="auto"/>
            <w:left w:val="none" w:sz="0" w:space="0" w:color="auto"/>
            <w:bottom w:val="none" w:sz="0" w:space="0" w:color="auto"/>
            <w:right w:val="none" w:sz="0" w:space="0" w:color="auto"/>
          </w:divBdr>
        </w:div>
        <w:div w:id="1859392655">
          <w:marLeft w:val="1166"/>
          <w:marRight w:val="0"/>
          <w:marTop w:val="106"/>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3506286">
      <w:bodyDiv w:val="1"/>
      <w:marLeft w:val="0"/>
      <w:marRight w:val="0"/>
      <w:marTop w:val="0"/>
      <w:marBottom w:val="0"/>
      <w:divBdr>
        <w:top w:val="none" w:sz="0" w:space="0" w:color="auto"/>
        <w:left w:val="none" w:sz="0" w:space="0" w:color="auto"/>
        <w:bottom w:val="none" w:sz="0" w:space="0" w:color="auto"/>
        <w:right w:val="none" w:sz="0" w:space="0" w:color="auto"/>
      </w:divBdr>
      <w:divsChild>
        <w:div w:id="2078555338">
          <w:marLeft w:val="1166"/>
          <w:marRight w:val="0"/>
          <w:marTop w:val="82"/>
          <w:marBottom w:val="0"/>
          <w:divBdr>
            <w:top w:val="none" w:sz="0" w:space="0" w:color="auto"/>
            <w:left w:val="none" w:sz="0" w:space="0" w:color="auto"/>
            <w:bottom w:val="none" w:sz="0" w:space="0" w:color="auto"/>
            <w:right w:val="none" w:sz="0" w:space="0" w:color="auto"/>
          </w:divBdr>
        </w:div>
        <w:div w:id="61291414">
          <w:marLeft w:val="1800"/>
          <w:marRight w:val="0"/>
          <w:marTop w:val="67"/>
          <w:marBottom w:val="0"/>
          <w:divBdr>
            <w:top w:val="none" w:sz="0" w:space="0" w:color="auto"/>
            <w:left w:val="none" w:sz="0" w:space="0" w:color="auto"/>
            <w:bottom w:val="none" w:sz="0" w:space="0" w:color="auto"/>
            <w:right w:val="none" w:sz="0" w:space="0" w:color="auto"/>
          </w:divBdr>
        </w:div>
        <w:div w:id="790633279">
          <w:marLeft w:val="2520"/>
          <w:marRight w:val="0"/>
          <w:marTop w:val="53"/>
          <w:marBottom w:val="0"/>
          <w:divBdr>
            <w:top w:val="none" w:sz="0" w:space="0" w:color="auto"/>
            <w:left w:val="none" w:sz="0" w:space="0" w:color="auto"/>
            <w:bottom w:val="none" w:sz="0" w:space="0" w:color="auto"/>
            <w:right w:val="none" w:sz="0" w:space="0" w:color="auto"/>
          </w:divBdr>
        </w:div>
        <w:div w:id="209464737">
          <w:marLeft w:val="3240"/>
          <w:marRight w:val="0"/>
          <w:marTop w:val="53"/>
          <w:marBottom w:val="0"/>
          <w:divBdr>
            <w:top w:val="none" w:sz="0" w:space="0" w:color="auto"/>
            <w:left w:val="none" w:sz="0" w:space="0" w:color="auto"/>
            <w:bottom w:val="none" w:sz="0" w:space="0" w:color="auto"/>
            <w:right w:val="none" w:sz="0" w:space="0" w:color="auto"/>
          </w:divBdr>
        </w:div>
        <w:div w:id="1456633226">
          <w:marLeft w:val="3240"/>
          <w:marRight w:val="0"/>
          <w:marTop w:val="53"/>
          <w:marBottom w:val="0"/>
          <w:divBdr>
            <w:top w:val="none" w:sz="0" w:space="0" w:color="auto"/>
            <w:left w:val="none" w:sz="0" w:space="0" w:color="auto"/>
            <w:bottom w:val="none" w:sz="0" w:space="0" w:color="auto"/>
            <w:right w:val="none" w:sz="0" w:space="0" w:color="auto"/>
          </w:divBdr>
        </w:div>
        <w:div w:id="1124928798">
          <w:marLeft w:val="3240"/>
          <w:marRight w:val="0"/>
          <w:marTop w:val="53"/>
          <w:marBottom w:val="0"/>
          <w:divBdr>
            <w:top w:val="none" w:sz="0" w:space="0" w:color="auto"/>
            <w:left w:val="none" w:sz="0" w:space="0" w:color="auto"/>
            <w:bottom w:val="none" w:sz="0" w:space="0" w:color="auto"/>
            <w:right w:val="none" w:sz="0" w:space="0" w:color="auto"/>
          </w:divBdr>
        </w:div>
        <w:div w:id="1240479022">
          <w:marLeft w:val="3240"/>
          <w:marRight w:val="0"/>
          <w:marTop w:val="53"/>
          <w:marBottom w:val="0"/>
          <w:divBdr>
            <w:top w:val="none" w:sz="0" w:space="0" w:color="auto"/>
            <w:left w:val="none" w:sz="0" w:space="0" w:color="auto"/>
            <w:bottom w:val="none" w:sz="0" w:space="0" w:color="auto"/>
            <w:right w:val="none" w:sz="0" w:space="0" w:color="auto"/>
          </w:divBdr>
        </w:div>
        <w:div w:id="1823309492">
          <w:marLeft w:val="3240"/>
          <w:marRight w:val="0"/>
          <w:marTop w:val="53"/>
          <w:marBottom w:val="0"/>
          <w:divBdr>
            <w:top w:val="none" w:sz="0" w:space="0" w:color="auto"/>
            <w:left w:val="none" w:sz="0" w:space="0" w:color="auto"/>
            <w:bottom w:val="none" w:sz="0" w:space="0" w:color="auto"/>
            <w:right w:val="none" w:sz="0" w:space="0" w:color="auto"/>
          </w:divBdr>
        </w:div>
        <w:div w:id="1397049645">
          <w:marLeft w:val="3240"/>
          <w:marRight w:val="0"/>
          <w:marTop w:val="53"/>
          <w:marBottom w:val="0"/>
          <w:divBdr>
            <w:top w:val="none" w:sz="0" w:space="0" w:color="auto"/>
            <w:left w:val="none" w:sz="0" w:space="0" w:color="auto"/>
            <w:bottom w:val="none" w:sz="0" w:space="0" w:color="auto"/>
            <w:right w:val="none" w:sz="0" w:space="0" w:color="auto"/>
          </w:divBdr>
        </w:div>
        <w:div w:id="445198355">
          <w:marLeft w:val="3240"/>
          <w:marRight w:val="0"/>
          <w:marTop w:val="53"/>
          <w:marBottom w:val="0"/>
          <w:divBdr>
            <w:top w:val="none" w:sz="0" w:space="0" w:color="auto"/>
            <w:left w:val="none" w:sz="0" w:space="0" w:color="auto"/>
            <w:bottom w:val="none" w:sz="0" w:space="0" w:color="auto"/>
            <w:right w:val="none" w:sz="0" w:space="0" w:color="auto"/>
          </w:divBdr>
        </w:div>
        <w:div w:id="1885093755">
          <w:marLeft w:val="3240"/>
          <w:marRight w:val="0"/>
          <w:marTop w:val="53"/>
          <w:marBottom w:val="0"/>
          <w:divBdr>
            <w:top w:val="none" w:sz="0" w:space="0" w:color="auto"/>
            <w:left w:val="none" w:sz="0" w:space="0" w:color="auto"/>
            <w:bottom w:val="none" w:sz="0" w:space="0" w:color="auto"/>
            <w:right w:val="none" w:sz="0" w:space="0" w:color="auto"/>
          </w:divBdr>
        </w:div>
        <w:div w:id="1010256678">
          <w:marLeft w:val="3240"/>
          <w:marRight w:val="0"/>
          <w:marTop w:val="53"/>
          <w:marBottom w:val="0"/>
          <w:divBdr>
            <w:top w:val="none" w:sz="0" w:space="0" w:color="auto"/>
            <w:left w:val="none" w:sz="0" w:space="0" w:color="auto"/>
            <w:bottom w:val="none" w:sz="0" w:space="0" w:color="auto"/>
            <w:right w:val="none" w:sz="0" w:space="0" w:color="auto"/>
          </w:divBdr>
        </w:div>
        <w:div w:id="249119264">
          <w:marLeft w:val="2520"/>
          <w:marRight w:val="0"/>
          <w:marTop w:val="53"/>
          <w:marBottom w:val="0"/>
          <w:divBdr>
            <w:top w:val="none" w:sz="0" w:space="0" w:color="auto"/>
            <w:left w:val="none" w:sz="0" w:space="0" w:color="auto"/>
            <w:bottom w:val="none" w:sz="0" w:space="0" w:color="auto"/>
            <w:right w:val="none" w:sz="0" w:space="0" w:color="auto"/>
          </w:divBdr>
        </w:div>
        <w:div w:id="202061506">
          <w:marLeft w:val="3240"/>
          <w:marRight w:val="0"/>
          <w:marTop w:val="53"/>
          <w:marBottom w:val="0"/>
          <w:divBdr>
            <w:top w:val="none" w:sz="0" w:space="0" w:color="auto"/>
            <w:left w:val="none" w:sz="0" w:space="0" w:color="auto"/>
            <w:bottom w:val="none" w:sz="0" w:space="0" w:color="auto"/>
            <w:right w:val="none" w:sz="0" w:space="0" w:color="auto"/>
          </w:divBdr>
        </w:div>
        <w:div w:id="763762850">
          <w:marLeft w:val="3240"/>
          <w:marRight w:val="0"/>
          <w:marTop w:val="53"/>
          <w:marBottom w:val="0"/>
          <w:divBdr>
            <w:top w:val="none" w:sz="0" w:space="0" w:color="auto"/>
            <w:left w:val="none" w:sz="0" w:space="0" w:color="auto"/>
            <w:bottom w:val="none" w:sz="0" w:space="0" w:color="auto"/>
            <w:right w:val="none" w:sz="0" w:space="0" w:color="auto"/>
          </w:divBdr>
        </w:div>
        <w:div w:id="1104574355">
          <w:marLeft w:val="3240"/>
          <w:marRight w:val="0"/>
          <w:marTop w:val="53"/>
          <w:marBottom w:val="0"/>
          <w:divBdr>
            <w:top w:val="none" w:sz="0" w:space="0" w:color="auto"/>
            <w:left w:val="none" w:sz="0" w:space="0" w:color="auto"/>
            <w:bottom w:val="none" w:sz="0" w:space="0" w:color="auto"/>
            <w:right w:val="none" w:sz="0" w:space="0" w:color="auto"/>
          </w:divBdr>
        </w:div>
        <w:div w:id="715472794">
          <w:marLeft w:val="3240"/>
          <w:marRight w:val="0"/>
          <w:marTop w:val="53"/>
          <w:marBottom w:val="0"/>
          <w:divBdr>
            <w:top w:val="none" w:sz="0" w:space="0" w:color="auto"/>
            <w:left w:val="none" w:sz="0" w:space="0" w:color="auto"/>
            <w:bottom w:val="none" w:sz="0" w:space="0" w:color="auto"/>
            <w:right w:val="none" w:sz="0" w:space="0" w:color="auto"/>
          </w:divBdr>
        </w:div>
        <w:div w:id="878010206">
          <w:marLeft w:val="3240"/>
          <w:marRight w:val="0"/>
          <w:marTop w:val="53"/>
          <w:marBottom w:val="0"/>
          <w:divBdr>
            <w:top w:val="none" w:sz="0" w:space="0" w:color="auto"/>
            <w:left w:val="none" w:sz="0" w:space="0" w:color="auto"/>
            <w:bottom w:val="none" w:sz="0" w:space="0" w:color="auto"/>
            <w:right w:val="none" w:sz="0" w:space="0" w:color="auto"/>
          </w:divBdr>
        </w:div>
        <w:div w:id="1607730658">
          <w:marLeft w:val="3240"/>
          <w:marRight w:val="0"/>
          <w:marTop w:val="53"/>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8494820">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6ECFD-2771-43ED-8902-FA71FABC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3</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30</cp:revision>
  <dcterms:created xsi:type="dcterms:W3CDTF">2019-10-24T02:42:00Z</dcterms:created>
  <dcterms:modified xsi:type="dcterms:W3CDTF">2020-04-10T14:05:00Z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